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eventuais alterações nas atividades previstas no projeto, bem como os possíveis impactos nas metas acordadas.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53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47"/>
        <w:gridCol w:w="1730"/>
        <w:gridCol w:w="1580"/>
        <w:gridCol w:w="1475"/>
        <w:tblGridChange w:id="0">
          <w:tblGrid>
            <w:gridCol w:w="2402"/>
            <w:gridCol w:w="1347"/>
            <w:gridCol w:w="1730"/>
            <w:gridCol w:w="1580"/>
            <w:gridCol w:w="14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9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377190</wp:posOffset>
          </wp:positionH>
          <wp:positionV relativeFrom="paragraph">
            <wp:posOffset>-260983</wp:posOffset>
          </wp:positionV>
          <wp:extent cx="932180" cy="866775"/>
          <wp:effectExtent b="0" l="0" r="0" t="0"/>
          <wp:wrapNone/>
          <wp:docPr descr="Ficheiro:Brasão São Domingos do Cariri.png – Wikipédia, a ..." id="1" name="image1.png"/>
          <a:graphic>
            <a:graphicData uri="http://schemas.openxmlformats.org/drawingml/2006/picture">
              <pic:pic>
                <pic:nvPicPr>
                  <pic:cNvPr descr="Ficheiro:Brasão São Domingos do Cariri.png – Wikipédia, a ..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2180" cy="8667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-430529</wp:posOffset>
          </wp:positionV>
          <wp:extent cx="7540809" cy="10662699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