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spacing w:line="254" w:lineRule="auto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PREFEITURA MUNICIPAL DE SÃO DOMINGOS DP CARIRI-PB</w:t>
      </w:r>
    </w:p>
    <w:p w:rsidR="00000000" w:rsidDel="00000000" w:rsidP="00000000" w:rsidRDefault="00000000" w:rsidRPr="00000000" w14:paraId="00000009">
      <w:pPr>
        <w:pStyle w:val="Title"/>
        <w:spacing w:line="254" w:lineRule="auto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SECRETARIA MUNICIPAL DE ESPORTE, CULTURA E LAZER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right="3613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ind w:right="3135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DO REMANEJAMENTO DOS VALORES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360" w:lineRule="auto"/>
        <w:ind w:left="100" w:right="113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Prefeitura Municipal de São Domingos do Cariri-PB através da Secretaria Municipal de Esporte, Cultura e Lazer, vem por meio deste, comunicar aos contemplados no Edital 01/2024 da Lei 14.399/2023 (Política Nacional Aldir Blanc) que os valores restantes do recurso da referida Lei, serão remanejados de forma igualitária aos contemplados, de acordo com o (Ítem 07) do referido edital.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360" w:lineRule="auto"/>
        <w:ind w:left="100" w:right="113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360" w:lineRule="auto"/>
        <w:ind w:left="100" w:right="113" w:firstLine="708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CORREÇÃO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360" w:lineRule="auto"/>
        <w:ind w:left="100" w:right="113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resultado final foram contemplados também os proponentes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kaiky Nascimento Almeida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José Rocha Silva Neto,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que por erro de atenção da banca avaliadora, não foram colocados anteriormente na lista preliminar.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360" w:lineRule="auto"/>
        <w:ind w:left="100" w:right="113" w:firstLine="708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São Domingos do Cariri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rtl w:val="0"/>
        </w:rPr>
        <w:t xml:space="preserve">PB; 26 de agosto de 2024.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right="3359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20" w:orient="portrait"/>
      <w:pgMar w:bottom="0" w:top="260" w:left="1100" w:right="72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9" w:lineRule="auto"/>
      <w:ind w:left="2136" w:right="2170" w:hanging="5"/>
      <w:jc w:val="center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